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0251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  <w:b/>
          <w:bCs/>
        </w:rPr>
        <w:t xml:space="preserve">Raport monitoringowy z realizacji </w:t>
      </w:r>
      <w:bookmarkStart w:id="0" w:name="__DdeLink__995_1716696691"/>
      <w:r>
        <w:rPr>
          <w:rFonts w:ascii="Verdana" w:hAnsi="Verdana"/>
          <w:b/>
          <w:bCs/>
        </w:rPr>
        <w:t xml:space="preserve">Strategii Rozwiązywania Problemów Społecznych Gminy Andrychów </w:t>
      </w:r>
      <w:bookmarkStart w:id="1" w:name="__DdeLink__2097_956884252"/>
      <w:bookmarkEnd w:id="0"/>
      <w:bookmarkEnd w:id="1"/>
      <w:r>
        <w:rPr>
          <w:rFonts w:ascii="Verdana" w:hAnsi="Verdana"/>
          <w:b/>
          <w:bCs/>
        </w:rPr>
        <w:t>na lata 2021-2027 za rok 2022</w:t>
      </w:r>
    </w:p>
    <w:p w14:paraId="2EA28FA1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  <w:b/>
          <w:bCs/>
        </w:rPr>
        <w:t xml:space="preserve"> Wprowadzenie</w:t>
      </w:r>
    </w:p>
    <w:p w14:paraId="2D6CE1CA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>Monitoring zapisów Strategii Rozwiązywania Problemów Społecznych polega na systematycznej ocenie realizowanych działań, a w przypadku stwierdzenia istotnych zmian społecznych modyfikacji kierunków działań. Całościowa ocena zapisów strategicznych wymaga odpowiedzi na pytania o zgodność ocenianej polityki z przyjętymi wartościami, potrzebami i zasadami.</w:t>
      </w:r>
    </w:p>
    <w:p w14:paraId="451ED51B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 xml:space="preserve">Podstawowym działaniem w procesie monitoringu Strategii jest ocena poziomu jej wdrażania w oparciu o przyjęte wskaźniki monitoringowe. </w:t>
      </w:r>
    </w:p>
    <w:p w14:paraId="4AE234AA" w14:textId="77777777" w:rsidR="00384723" w:rsidRDefault="00000000">
      <w:pPr>
        <w:spacing w:before="57" w:after="57"/>
        <w:jc w:val="left"/>
        <w:rPr>
          <w:rFonts w:ascii="Verdana" w:hAnsi="Verdana" w:hint="eastAsia"/>
        </w:rPr>
      </w:pPr>
      <w:r>
        <w:rPr>
          <w:rFonts w:ascii="Verdana" w:hAnsi="Verdana"/>
          <w:b/>
          <w:bCs/>
        </w:rPr>
        <w:t xml:space="preserve"> Ocena stopnia wdrożenia zapisów Strategii</w:t>
      </w:r>
    </w:p>
    <w:p w14:paraId="630B3F03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>Raport monitoringowy z wdrażania Strategii Rozwiązywania Problemów Społecznych Gminy Andrychów na lata 2021-2027 w 2022 roku został przygotowany w Ośrodku Pomocy Społecznej w Andrychowie przez powołany Zarządzeniem Burmistrza Andrychowa Zespół Oceniający Strategię.</w:t>
      </w:r>
    </w:p>
    <w:p w14:paraId="417D4D73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>Ocena wdrożenia działań wyznaczonych w ramach strategii, została dokonana przez Zespół Oceniający według pięciopunktowej skali stopnia wdrożenia każdego z kierunków działań, na podstawie osiągniętych wskaźników za każdy oceniany rok.</w:t>
      </w:r>
    </w:p>
    <w:p w14:paraId="7F111C2D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>Skala ta zawierała następujące oceny:</w:t>
      </w:r>
    </w:p>
    <w:p w14:paraId="4E72DDA9" w14:textId="77777777" w:rsidR="00384723" w:rsidRDefault="00000000">
      <w:pPr>
        <w:numPr>
          <w:ilvl w:val="0"/>
          <w:numId w:val="1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1 - nie rozpoczęto wdrożenia (0%)</w:t>
      </w:r>
    </w:p>
    <w:p w14:paraId="27AE8B37" w14:textId="77777777" w:rsidR="00384723" w:rsidRDefault="00000000">
      <w:pPr>
        <w:numPr>
          <w:ilvl w:val="0"/>
          <w:numId w:val="1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2 – przygotowania do wdrażania (25%)</w:t>
      </w:r>
    </w:p>
    <w:p w14:paraId="6E1F8941" w14:textId="77777777" w:rsidR="00384723" w:rsidRDefault="00000000">
      <w:pPr>
        <w:numPr>
          <w:ilvl w:val="0"/>
          <w:numId w:val="1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3 –rozpoczęcie realizacji (50%)</w:t>
      </w:r>
    </w:p>
    <w:p w14:paraId="4AE17F5E" w14:textId="77777777" w:rsidR="00384723" w:rsidRDefault="00000000">
      <w:pPr>
        <w:numPr>
          <w:ilvl w:val="0"/>
          <w:numId w:val="1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lastRenderedPageBreak/>
        <w:t>4 – realizacja w toku (75%)</w:t>
      </w:r>
    </w:p>
    <w:p w14:paraId="47E0239F" w14:textId="77777777" w:rsidR="00384723" w:rsidRDefault="00000000">
      <w:pPr>
        <w:numPr>
          <w:ilvl w:val="0"/>
          <w:numId w:val="1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5 – pełne i skuteczne wdrożenie(100%)</w:t>
      </w:r>
    </w:p>
    <w:p w14:paraId="7CC368DE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 w:cstheme="minorHAnsi"/>
        </w:rPr>
        <w:t xml:space="preserve">Oceny dokonane przez członków Zespołu Oceniającego zostały ustalone na podstawie </w:t>
      </w:r>
      <w:r>
        <w:rPr>
          <w:rFonts w:ascii="Verdana" w:hAnsi="Verdana" w:cs="Calibri"/>
        </w:rPr>
        <w:t xml:space="preserve">wartości kumulatywnych wskaźników </w:t>
      </w:r>
      <w:r>
        <w:rPr>
          <w:rFonts w:ascii="Verdana" w:hAnsi="Verdana" w:cstheme="minorHAnsi"/>
        </w:rPr>
        <w:t xml:space="preserve"> - dane obiektywne z 2022 roku. Informacje pozyskano z instytucji i organizacji, działających na terenie Gminy Andrychów, wskazanych w rozdziale III Strategii. Wybór właściwej oceny ze skali mógł odbywać się w drodze uzgadniania stanowiska pomiędzy członkami Zespołu Oceniającego, a gdy jego wypracowanie nie było możliwe, daną kwestię rozstrzygało głosowanie. Po dokonaniu właściwego wyboru członkowie Zespołu Oceniającego przedstawiali jego uzasadnienie w postaci informacji o zrealizowanych w ramach danego kierunku działania przedsięwzięciach.</w:t>
      </w:r>
    </w:p>
    <w:p w14:paraId="6F9B123E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  <w:b/>
          <w:bCs/>
        </w:rPr>
        <w:t xml:space="preserve"> Dane za rok 2022</w:t>
      </w:r>
    </w:p>
    <w:p w14:paraId="2B17CFA2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eastAsia="Times New Roman" w:hAnsi="Verdana"/>
        </w:rPr>
        <w:t xml:space="preserve">Wedle założeń </w:t>
      </w:r>
      <w:r>
        <w:rPr>
          <w:rFonts w:ascii="Verdana" w:eastAsia="Times New Roman" w:hAnsi="Verdana" w:cstheme="minorHAnsi"/>
        </w:rPr>
        <w:t xml:space="preserve">Strategii Rozwiązywania Problemów Społecznych Gminy Andrychów na lata 2021-2027 </w:t>
      </w:r>
      <w:r>
        <w:rPr>
          <w:rFonts w:ascii="Verdana" w:eastAsia="Times New Roman" w:hAnsi="Verdana"/>
        </w:rPr>
        <w:t xml:space="preserve">lokalna polityka społeczna zmierza do urzeczywistnienia  zawartej w Strategii misji: </w:t>
      </w:r>
      <w:r>
        <w:rPr>
          <w:rFonts w:ascii="Verdana" w:eastAsia="Times New Roman" w:hAnsi="Verdana" w:cs="Calibri"/>
        </w:rPr>
        <w:t>„</w:t>
      </w:r>
      <w:r>
        <w:rPr>
          <w:rFonts w:ascii="Verdana" w:eastAsia="Times New Roman" w:hAnsi="Verdana"/>
        </w:rPr>
        <w:t xml:space="preserve">Gmina Andrychów jako miejsce przyjazne, podnoszące poziom i jakość życia mieszkańców, sprzyjające integracji społecznej, rozwojowi i aktywności społeczno- zawodowej i edukacyjnej mieszkańców”. </w:t>
      </w:r>
    </w:p>
    <w:p w14:paraId="4B853E1C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 xml:space="preserve">Realizacja założeń strategii obejmuje systematyczne działania instytucji działających zgodnie ze swoim przeznaczeniem,  w tym realizację programów: </w:t>
      </w:r>
    </w:p>
    <w:p w14:paraId="51ACA438" w14:textId="77777777" w:rsidR="00384723" w:rsidRDefault="00000000">
      <w:pPr>
        <w:numPr>
          <w:ilvl w:val="0"/>
          <w:numId w:val="2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Gminnego Programu Profilaktyki i Rozwiązywania Problemów Alkoholowych,</w:t>
      </w:r>
    </w:p>
    <w:p w14:paraId="6724CF55" w14:textId="77777777" w:rsidR="00384723" w:rsidRDefault="00000000">
      <w:pPr>
        <w:numPr>
          <w:ilvl w:val="0"/>
          <w:numId w:val="2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Gminnego Programu Przeciwdziałania Narkomanii,</w:t>
      </w:r>
    </w:p>
    <w:p w14:paraId="0A32EBAA" w14:textId="77777777" w:rsidR="00384723" w:rsidRDefault="00000000">
      <w:pPr>
        <w:numPr>
          <w:ilvl w:val="0"/>
          <w:numId w:val="2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Gminnego Programu Przeciwdziałania Przemocy w Rodzinie i Ochrony Ofiar Przemocy w Rodzinie,</w:t>
      </w:r>
    </w:p>
    <w:p w14:paraId="5E878EEE" w14:textId="77777777" w:rsidR="00384723" w:rsidRDefault="00000000">
      <w:pPr>
        <w:numPr>
          <w:ilvl w:val="0"/>
          <w:numId w:val="2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Programu Wspierania Rodziny i Rozwoju Pieczy Zastępczej,</w:t>
      </w:r>
    </w:p>
    <w:p w14:paraId="118326D1" w14:textId="77777777" w:rsidR="00384723" w:rsidRDefault="00000000">
      <w:pPr>
        <w:numPr>
          <w:ilvl w:val="0"/>
          <w:numId w:val="2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lastRenderedPageBreak/>
        <w:t>Programu współpracy Gminy Andrychów z organizacjami pozarządowymi i innymi podmiotami prowadzącymi działalność pożytku publicznego</w:t>
      </w:r>
    </w:p>
    <w:p w14:paraId="6F74D80B" w14:textId="77777777" w:rsidR="00384723" w:rsidRDefault="00000000">
      <w:pPr>
        <w:numPr>
          <w:ilvl w:val="0"/>
          <w:numId w:val="2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Programów osłonowych.</w:t>
      </w:r>
    </w:p>
    <w:p w14:paraId="70912012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eastAsia="Times New Roman" w:hAnsi="Verdana" w:cs="Times New Roman"/>
          <w:color w:val="000000"/>
        </w:rPr>
        <w:t xml:space="preserve">Na realizację działań zmierzających do świadczenia wysokiej jakości usług społecznych, przeciwdziałania wykluczeniu społecznemu i odpowiadaniu na potrzeby mieszkańców” w 2022 r. z budżetu Gminy Andrychów wydatkowano kwotę w wysokości </w:t>
      </w:r>
      <w:r>
        <w:rPr>
          <w:rFonts w:ascii="Verdana" w:eastAsia="Times New Roman" w:hAnsi="Verdana" w:cs="Calibri"/>
          <w:b/>
          <w:bCs/>
          <w:color w:val="000000"/>
          <w:lang w:eastAsia="pl-PL"/>
        </w:rPr>
        <w:t>55 358 043</w:t>
      </w:r>
      <w:r>
        <w:rPr>
          <w:rFonts w:ascii="Verdana" w:eastAsia="Times New Roman" w:hAnsi="Verdana" w:cs="Times New Roman"/>
          <w:color w:val="000000"/>
        </w:rPr>
        <w:t>zł.</w:t>
      </w:r>
    </w:p>
    <w:p w14:paraId="0A8838F8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 xml:space="preserve">Poniżej zaprezentowano kumulatywne osiągnięcie wskaźników zrealizowanych działań w 2022 roku w podziale na cele strategiczne i operacyjne oraz kierunki działań, zgodnie z założeniami zawartymi w części III  Strategii. </w:t>
      </w:r>
    </w:p>
    <w:tbl>
      <w:tblPr>
        <w:tblW w:w="14560" w:type="dxa"/>
        <w:tblInd w:w="53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2912"/>
        <w:gridCol w:w="2912"/>
        <w:gridCol w:w="2912"/>
      </w:tblGrid>
      <w:tr w:rsidR="00384723" w14:paraId="430A02DF" w14:textId="77777777">
        <w:trPr>
          <w:trHeight w:val="992"/>
          <w:tblHeader/>
        </w:trPr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FE4143" w14:textId="77777777" w:rsidR="00384723" w:rsidRDefault="00000000">
            <w:pPr>
              <w:pStyle w:val="Nagwek1"/>
              <w:widowControl w:val="0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Cele strategiczne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1A5F8A" w14:textId="77777777" w:rsidR="00384723" w:rsidRDefault="00000000">
            <w:pPr>
              <w:pStyle w:val="Nagwek2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Cele operacyjne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CFED74" w14:textId="77777777" w:rsidR="00384723" w:rsidRDefault="00000000">
            <w:pPr>
              <w:pStyle w:val="Akapitzlist"/>
              <w:widowControl w:val="0"/>
              <w:spacing w:after="16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 xml:space="preserve">Kierunki działań: 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D53716" w14:textId="77777777" w:rsidR="00384723" w:rsidRDefault="00000000">
            <w:pPr>
              <w:pStyle w:val="Akapitzlist"/>
              <w:widowControl w:val="0"/>
              <w:spacing w:after="16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Wskaźniki osiągania celu: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2AF1D75" w14:textId="77777777" w:rsidR="00384723" w:rsidRDefault="00000000">
            <w:pPr>
              <w:pStyle w:val="Zawartotabeli"/>
              <w:widowControl w:val="0"/>
              <w:spacing w:after="16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Ocena </w:t>
            </w:r>
          </w:p>
        </w:tc>
      </w:tr>
      <w:tr w:rsidR="00384723" w14:paraId="3CC12BAF" w14:textId="77777777">
        <w:trPr>
          <w:trHeight w:val="1120"/>
        </w:trPr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1CF81B" w14:textId="77777777" w:rsidR="00384723" w:rsidRDefault="00000000">
            <w:pPr>
              <w:pStyle w:val="Nagwek1"/>
              <w:widowControl w:val="0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br/>
              <w:t>Zintegrowany system pomocy osobom starszym, niesamodzielnym i niepełnosprawnym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670E81" w14:textId="77777777" w:rsidR="00384723" w:rsidRDefault="00000000">
            <w:pPr>
              <w:pStyle w:val="Nagwek2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I.1</w:t>
            </w:r>
            <w:r>
              <w:rPr>
                <w:b w:val="0"/>
                <w:sz w:val="24"/>
                <w:szCs w:val="24"/>
              </w:rPr>
              <w:br/>
              <w:t>Stworzenie sprawnego systemu wsparcia dla osób starszych, niesamodzielnych i niepełnosprawnych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A45DE0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1.Rozwijanie usług z zakresu profilaktyki i ochrony zdrowia oraz świadczeń socjalnych dla osób starszych, niesamodzielnych i niepełnosprawnych</w:t>
            </w:r>
          </w:p>
          <w:p w14:paraId="54B2539C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NZOZ-y, samorząd gminny, NGO</w:t>
            </w:r>
          </w:p>
          <w:p w14:paraId="583E5D9D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2.Organizowanie wsparcia psychologicznego, terapeutycznego, środowiskowego dla osób starszych, niesamodzielnych i </w:t>
            </w:r>
            <w:r>
              <w:rPr>
                <w:rFonts w:ascii="Verdana" w:hAnsi="Verdana"/>
              </w:rPr>
              <w:lastRenderedPageBreak/>
              <w:t>niepełnosprawnych</w:t>
            </w:r>
            <w:r>
              <w:rPr>
                <w:rFonts w:ascii="Verdana" w:hAnsi="Verdana"/>
              </w:rPr>
              <w:br/>
              <w:t>Realizatorzy: OPS, samorząd gminny, WSP Andrychów, NGO</w:t>
            </w:r>
          </w:p>
          <w:p w14:paraId="6B9A36FC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3.Rozwój i promocja idei wolontariatu i włączenie wolontariuszy do pomocy na rzecz osób starszych, niesamodzielnych i niepełnosprawnych</w:t>
            </w:r>
          </w:p>
          <w:p w14:paraId="163C516B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Realizatorzy: OPS, Centrum Kultury i Wypoczynku, placówki oświatowe, samorząd gminny, </w:t>
            </w:r>
            <w:r>
              <w:rPr>
                <w:rFonts w:ascii="Verdana" w:hAnsi="Verdana"/>
              </w:rPr>
              <w:lastRenderedPageBreak/>
              <w:t>NGO</w:t>
            </w:r>
          </w:p>
          <w:p w14:paraId="230C30B1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4. Stworzenie warunków dla osób starszych, niesamodzielnych i niepełnosprawnych umożliwiających im pełne uczestnictwo w życiu społecznym gminy</w:t>
            </w:r>
          </w:p>
          <w:p w14:paraId="25B4C055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Centrum Kultury i Wypoczynku, placówki oświatowe, samorząd gminny, NGO</w:t>
            </w:r>
          </w:p>
          <w:p w14:paraId="2243420A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 xml:space="preserve">5. Rozwój systemu wsparcia pozainstytucjonalnego na rzecz osób starszych, niesamodzielnych i niepełnosprawnych </w:t>
            </w:r>
          </w:p>
          <w:p w14:paraId="09494637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</w:t>
            </w:r>
          </w:p>
          <w:p w14:paraId="5B175185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OPS, samorząd gminny, NGO, MRS</w:t>
            </w:r>
          </w:p>
          <w:p w14:paraId="289F353B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6. Realizacja przedsięwzięć wspomagających osoby starsze w samodzielnym zaspokajaniu potrzeb, zmniejszających skalę </w:t>
            </w:r>
            <w:r>
              <w:rPr>
                <w:rFonts w:ascii="Verdana" w:hAnsi="Verdana"/>
              </w:rPr>
              <w:lastRenderedPageBreak/>
              <w:t>ich uzależnienia od otoczenia i instytucjonalnej pomocy</w:t>
            </w:r>
          </w:p>
          <w:p w14:paraId="7EC9F112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</w:t>
            </w:r>
          </w:p>
          <w:p w14:paraId="24323B2C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OPS, samorząd gminny, NGO, MRS</w:t>
            </w:r>
          </w:p>
          <w:p w14:paraId="3614D5BC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7. Tworzenie warunków umożliwiających włączenie potencjału rodziny, znajomych i bliskiego otoczenia w działania wspierające osoby starsze, niesamodzielne i </w:t>
            </w:r>
            <w:r>
              <w:rPr>
                <w:rFonts w:ascii="Verdana" w:hAnsi="Verdana"/>
              </w:rPr>
              <w:lastRenderedPageBreak/>
              <w:t>niepełnosprawne</w:t>
            </w:r>
          </w:p>
          <w:p w14:paraId="58586377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samorząd gminny, NGO, MRS</w:t>
            </w:r>
          </w:p>
          <w:p w14:paraId="51ECA1B9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8. Diagnoza i monitoring sytuacji osób starszych oraz niepełnosprawnych i ich rodzin</w:t>
            </w:r>
          </w:p>
          <w:p w14:paraId="7E0519B5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bookmarkStart w:id="2" w:name="__DdeLink__701_1860932682"/>
            <w:r>
              <w:rPr>
                <w:rFonts w:ascii="Verdana" w:hAnsi="Verdana"/>
              </w:rPr>
              <w:t>Realizatorzy:</w:t>
            </w:r>
            <w:bookmarkEnd w:id="2"/>
            <w:r>
              <w:rPr>
                <w:rFonts w:ascii="Verdana" w:hAnsi="Verdana"/>
              </w:rPr>
              <w:t xml:space="preserve"> OPS, samorząd gminny, NGO, MRS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B83D5A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Liczba i nazwa udzielonych świadczeń : 5</w:t>
            </w:r>
          </w:p>
          <w:p w14:paraId="4B165E44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1. Korpus wsparcia seniorów </w:t>
            </w:r>
          </w:p>
          <w:p w14:paraId="342B35DD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2. Usługi opiekuńcze</w:t>
            </w:r>
          </w:p>
          <w:p w14:paraId="78BE2CFC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3. Specjalistyczne usługi opiekuńcze</w:t>
            </w:r>
          </w:p>
          <w:p w14:paraId="32D0A740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4. Asystent osobisty osoby niepełnosprawnej</w:t>
            </w:r>
          </w:p>
          <w:p w14:paraId="09AD04B7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5. Opieka </w:t>
            </w:r>
            <w:proofErr w:type="spellStart"/>
            <w:r>
              <w:rPr>
                <w:rFonts w:ascii="Verdana" w:hAnsi="Verdana"/>
              </w:rPr>
              <w:t>wytchnieniowa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4D9A9860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wprowadzonych usług (</w:t>
            </w:r>
            <w:proofErr w:type="spellStart"/>
            <w:r>
              <w:rPr>
                <w:rFonts w:ascii="Verdana" w:hAnsi="Verdana"/>
              </w:rPr>
              <w:t>teleopieka</w:t>
            </w:r>
            <w:proofErr w:type="spellEnd"/>
            <w:r>
              <w:rPr>
                <w:rFonts w:ascii="Verdana" w:hAnsi="Verdana"/>
              </w:rPr>
              <w:t xml:space="preserve">):2. </w:t>
            </w:r>
          </w:p>
          <w:p w14:paraId="3ED4880C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„ Korpus wsparcia </w:t>
            </w:r>
            <w:r>
              <w:rPr>
                <w:rFonts w:ascii="Verdana" w:hAnsi="Verdana"/>
              </w:rPr>
              <w:lastRenderedPageBreak/>
              <w:t>seniora”</w:t>
            </w:r>
          </w:p>
          <w:p w14:paraId="7A7400C8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objętych usługami opiekuńczymi:  147</w:t>
            </w:r>
          </w:p>
          <w:p w14:paraId="4F4F0359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objętych  pomocą asystenta osoby niepełnosprawnej: 28</w:t>
            </w:r>
          </w:p>
          <w:p w14:paraId="25404F91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Liczba osób objętych opieką </w:t>
            </w:r>
            <w:proofErr w:type="spellStart"/>
            <w:r>
              <w:rPr>
                <w:rFonts w:ascii="Verdana" w:hAnsi="Verdana"/>
              </w:rPr>
              <w:t>wytchnieniową</w:t>
            </w:r>
            <w:proofErr w:type="spellEnd"/>
            <w:r>
              <w:rPr>
                <w:rFonts w:ascii="Verdana" w:hAnsi="Verdana"/>
              </w:rPr>
              <w:t>:</w:t>
            </w:r>
          </w:p>
          <w:p w14:paraId="2F39262C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- pobyt dzienny: 29 osób</w:t>
            </w:r>
          </w:p>
          <w:p w14:paraId="3E7A3E2D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- pobyt całodobowy: 31</w:t>
            </w:r>
          </w:p>
          <w:p w14:paraId="72B0162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uczestników konsultacji i porad psychologiczno-</w:t>
            </w:r>
            <w:r>
              <w:rPr>
                <w:rFonts w:ascii="Verdana" w:hAnsi="Verdana"/>
              </w:rPr>
              <w:lastRenderedPageBreak/>
              <w:t>terapeutycznych : 192</w:t>
            </w:r>
          </w:p>
          <w:p w14:paraId="684F56F2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 (Wojewódzki Szpital psychiatryczny i OPS-  konsultacje konsultanta </w:t>
            </w:r>
            <w:proofErr w:type="spellStart"/>
            <w:r>
              <w:rPr>
                <w:rFonts w:ascii="Verdana" w:hAnsi="Verdana"/>
              </w:rPr>
              <w:t>ds</w:t>
            </w:r>
            <w:proofErr w:type="spellEnd"/>
            <w:r>
              <w:rPr>
                <w:rFonts w:ascii="Verdana" w:hAnsi="Verdana"/>
              </w:rPr>
              <w:t xml:space="preserve"> osób niepełnosprawnych)</w:t>
            </w:r>
          </w:p>
          <w:p w14:paraId="46C76E56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udzielonych porad: 244</w:t>
            </w:r>
          </w:p>
          <w:p w14:paraId="6BE0ACB6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wolontariuszy &gt; 24</w:t>
            </w:r>
          </w:p>
          <w:p w14:paraId="254EA94C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objętych pomocą wolontariuszy &gt;30</w:t>
            </w:r>
          </w:p>
          <w:p w14:paraId="55C180B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(Włączenie wolontariuszy do wolontariatu akcyjnego na rzecz osób </w:t>
            </w:r>
            <w:r>
              <w:rPr>
                <w:rFonts w:ascii="Verdana" w:hAnsi="Verdana"/>
              </w:rPr>
              <w:lastRenderedPageBreak/>
              <w:t>niesamodzielnych i niepełnosprawnych, współpraca z andrychowskim domowym hospicjum)</w:t>
            </w:r>
          </w:p>
          <w:p w14:paraId="7B7461A4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i nazwa przeprowadzonych kampanii : 4</w:t>
            </w:r>
          </w:p>
          <w:p w14:paraId="3AD2DD5E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(,,Światowy Dzień Autyzmu”, ,,Dzień osób niepełnosprawnych”, ,,Dzień osób z Zespołem Downa”, pomoc uchodźcom z Ukrainy</w:t>
            </w:r>
          </w:p>
          <w:p w14:paraId="468344A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Liczba materiałów </w:t>
            </w:r>
            <w:r>
              <w:rPr>
                <w:rFonts w:ascii="Verdana" w:hAnsi="Verdana"/>
              </w:rPr>
              <w:lastRenderedPageBreak/>
              <w:t>promocyjnych: 10</w:t>
            </w:r>
          </w:p>
          <w:p w14:paraId="34EE7F68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(gazetki szkolne, prezentacje i filmy )</w:t>
            </w:r>
          </w:p>
          <w:p w14:paraId="3C9A9B76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 i nazwa akcji promujących zdrowy styl życia &gt;9</w:t>
            </w:r>
          </w:p>
          <w:p w14:paraId="124AE02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(„ Stop depresji”, „ Depresja wieku adolescencji”</w:t>
            </w:r>
          </w:p>
          <w:p w14:paraId="5D86DDCF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„ Jak sobie radzić z emocjami?”</w:t>
            </w:r>
          </w:p>
          <w:p w14:paraId="19F848A2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„ Nie pal przy mnie”, „Dziękuję nie palę”</w:t>
            </w:r>
          </w:p>
          <w:p w14:paraId="6507410C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„Trzymaj formę”</w:t>
            </w:r>
          </w:p>
          <w:p w14:paraId="62574D29" w14:textId="77777777" w:rsidR="00384723" w:rsidRDefault="00000000">
            <w:pPr>
              <w:widowControl w:val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1) współorganizacja inauguracji „UNIWERSYTETU </w:t>
            </w:r>
            <w:r>
              <w:rPr>
                <w:rFonts w:ascii="Verdana" w:hAnsi="Verdana"/>
              </w:rPr>
              <w:lastRenderedPageBreak/>
              <w:t>TRZECIEGO WIEKU”,</w:t>
            </w:r>
          </w:p>
          <w:p w14:paraId="4A381C00" w14:textId="77777777" w:rsidR="00384723" w:rsidRDefault="00000000">
            <w:pPr>
              <w:pStyle w:val="Akapitzlist"/>
              <w:widowControl w:val="0"/>
              <w:spacing w:after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2) współorganizacja zakończenia Roku Akademickiego Stowarzyszenia „UNIWERSYTETU TRZECIEGO WIEKU”.</w:t>
            </w:r>
          </w:p>
          <w:p w14:paraId="6596FA5F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 i nazwa akcji promujących zdrowy styl życia Szkoły</w:t>
            </w:r>
          </w:p>
          <w:p w14:paraId="6C100E90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- Akcja jedz zdrowo – zjedz jabłko zamiast pić energetyki</w:t>
            </w:r>
          </w:p>
          <w:p w14:paraId="3F0B9469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- realizacja programu z zakresu zdrowego żywienia podczas lekcji Edukacja zdrowotna)</w:t>
            </w:r>
          </w:p>
          <w:p w14:paraId="3A4961C7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Liczba i nazwa wprowadzonych usług :0</w:t>
            </w:r>
          </w:p>
          <w:p w14:paraId="2C38DCC5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i nazwa utworzonych podmiotów działających na rzecz osób starszych, niesamodzielnych, niepełnosprawnych:0</w:t>
            </w:r>
          </w:p>
          <w:p w14:paraId="1C7A445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Łączna liczba osób objętych wsparciem:0</w:t>
            </w:r>
          </w:p>
          <w:p w14:paraId="199D729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i rodzaj podjętych działań : 1</w:t>
            </w:r>
          </w:p>
          <w:p w14:paraId="4842A7CF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(Spotkania informacyjne oraz indywidualne </w:t>
            </w:r>
            <w:r>
              <w:rPr>
                <w:rFonts w:ascii="Verdana" w:hAnsi="Verdana"/>
              </w:rPr>
              <w:lastRenderedPageBreak/>
              <w:t>konsultacje z pracownikami ZUS dotyczące spraw zmian w przepisach emerytalno- rentowych)</w:t>
            </w:r>
          </w:p>
          <w:p w14:paraId="402C8192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objętych działaniami:.104</w:t>
            </w:r>
          </w:p>
          <w:p w14:paraId="0673A1EC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(Stowarzyszenie Gospodyń Wiejskich  w A-wie  - 34 osoby</w:t>
            </w:r>
          </w:p>
          <w:p w14:paraId="1D179315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Klub Seniora przy Spółdzielni  Mieszkaniowej w A-wie -  20 osób Uniwersytet Trzeciego Wieku -  50 osób)</w:t>
            </w:r>
          </w:p>
          <w:p w14:paraId="2C7256E2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Liczba rodzin objętych wsparciem 65</w:t>
            </w:r>
          </w:p>
          <w:p w14:paraId="397BF62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(Opaski seniora: - zakupiono 60 opasek bezpieczeństwa oraz zapewniono usługę </w:t>
            </w:r>
            <w:proofErr w:type="spellStart"/>
            <w:r>
              <w:rPr>
                <w:rFonts w:ascii="Verdana" w:hAnsi="Verdana"/>
              </w:rPr>
              <w:t>teleopieki</w:t>
            </w:r>
            <w:proofErr w:type="spellEnd"/>
            <w:r>
              <w:rPr>
                <w:rFonts w:ascii="Verdana" w:hAnsi="Verdana"/>
              </w:rPr>
              <w:t xml:space="preserve">  dla 65 osób)</w:t>
            </w:r>
          </w:p>
          <w:p w14:paraId="639F8FD5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rodzin zdiagnozowanych do wsparcia: 4</w:t>
            </w:r>
          </w:p>
          <w:p w14:paraId="7B5DD1C4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Liczba rodzin objętych wsparciem: 4 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4541EA" w14:textId="77777777" w:rsidR="00384723" w:rsidRDefault="00384723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</w:p>
          <w:p w14:paraId="50FE95A2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</w:t>
            </w:r>
          </w:p>
          <w:p w14:paraId="51BF49B5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</w:t>
            </w:r>
          </w:p>
          <w:p w14:paraId="327B8723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</w:t>
            </w:r>
          </w:p>
          <w:p w14:paraId="47FC1026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</w:t>
            </w:r>
          </w:p>
          <w:p w14:paraId="2C0451C1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384723" w14:paraId="5D3EA294" w14:textId="77777777">
        <w:trPr>
          <w:trHeight w:val="480"/>
        </w:trPr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B5B8DB" w14:textId="77777777" w:rsidR="00384723" w:rsidRDefault="00000000">
            <w:pPr>
              <w:pStyle w:val="Nagwek1"/>
              <w:widowControl w:val="0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  <w:t>Zintegrowany system pomocy osobom starszym, niesamodzielnym i niepełnosprawnym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81930F" w14:textId="77777777" w:rsidR="00384723" w:rsidRDefault="00000000">
            <w:pPr>
              <w:pStyle w:val="Nagwek2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Cel operacyjny I.2 Podnoszenie świadomości społeczeństwa o potrzebach i problemach ludzi starszych, niesamodzielnych i niepełnosprawnych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F376B3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1. Inicjowanie kampanii na rzecz podnoszenia poziomu wiedzy i społecznej akceptacji osób starszych, niesamodzielnych i niepełnosprawnych</w:t>
            </w:r>
          </w:p>
          <w:p w14:paraId="2B1D791C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Centrum Kultury i Wypoczynku, NZOZ-y, samorząd gminny, NGO</w:t>
            </w:r>
          </w:p>
          <w:p w14:paraId="24BBF6F9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2. Wspieranie akcji promujących zdrowy styl życia oraz realizacja kampanii na </w:t>
            </w:r>
            <w:r>
              <w:rPr>
                <w:rFonts w:ascii="Verdana" w:hAnsi="Verdana"/>
              </w:rPr>
              <w:lastRenderedPageBreak/>
              <w:t>rzecz tworzenia warunków do rozwijania aktywności fizycznej i umysłowej seniorów</w:t>
            </w:r>
          </w:p>
          <w:p w14:paraId="59FE7317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Centrum Kultury i Wypoczynku, NZOZ-y, samorząd gminny, NGO</w:t>
            </w:r>
          </w:p>
          <w:p w14:paraId="119221E2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3. Integracja ze społeczeństwem oraz aktywne uczestnictwo w realizacji programów mających bezpośredni wpływ na warunki </w:t>
            </w:r>
            <w:r>
              <w:rPr>
                <w:rFonts w:ascii="Verdana" w:hAnsi="Verdana"/>
              </w:rPr>
              <w:lastRenderedPageBreak/>
              <w:t>życia seniorów, osób niesamodzielnych i niepełnosprawnych</w:t>
            </w:r>
          </w:p>
          <w:p w14:paraId="2E2A9D7D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Centrum Kultury i Wypoczynku, NZOZ-y, placówki oświatowe, samorząd gminny, NGO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E89BB4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Liczba spotkań : 2</w:t>
            </w:r>
          </w:p>
          <w:p w14:paraId="7DAA1351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(współorganizacja inauguracji „UNIWERSYTETU TRZECIEGO WIEKU”, współorganizacja zakończenia Roku Akademickiego Stowarzyszenia „UNIWERSYTETU TRZECIEGO WIEKU”) </w:t>
            </w:r>
          </w:p>
          <w:p w14:paraId="00B3FCD8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Liczba osób &gt;10 uczestników </w:t>
            </w:r>
          </w:p>
          <w:p w14:paraId="13F7AC09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materiałów promocyjnych &gt;1</w:t>
            </w:r>
          </w:p>
          <w:p w14:paraId="1F8F8647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kampanii: 2</w:t>
            </w:r>
          </w:p>
          <w:p w14:paraId="601F08D3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kampanii: 4</w:t>
            </w:r>
          </w:p>
          <w:p w14:paraId="21A28399" w14:textId="77777777" w:rsidR="00384723" w:rsidRDefault="00000000">
            <w:pPr>
              <w:pStyle w:val="Akapitzlist"/>
              <w:widowControl w:val="0"/>
              <w:spacing w:after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 xml:space="preserve">(Przedświąteczna Biesiada Seniorek i Działaczek Kół Gospodyń </w:t>
            </w:r>
            <w:proofErr w:type="spellStart"/>
            <w:r>
              <w:rPr>
                <w:rFonts w:ascii="Verdana" w:hAnsi="Verdana"/>
              </w:rPr>
              <w:t>Wejskich</w:t>
            </w:r>
            <w:proofErr w:type="spellEnd"/>
            <w:r>
              <w:rPr>
                <w:rFonts w:ascii="Verdana" w:hAnsi="Verdana"/>
              </w:rPr>
              <w:t xml:space="preserve">, XXIII Konkurs Potraw Regionalnych „Stół wigilijny”. Miejski Ośrodek Sportu, Kultury i Turystyki w Andrychowie przeprowadzał procedurę przekazania środków finansowych na zadania oraz rozliczenia i zatwierdzenia sprawozdań z tych </w:t>
            </w:r>
            <w:r>
              <w:rPr>
                <w:rFonts w:ascii="Verdana" w:hAnsi="Verdana"/>
              </w:rPr>
              <w:lastRenderedPageBreak/>
              <w:t xml:space="preserve">działań w dziedzinie "Działalność na rzecz osób w wieku emerytalnym" dla: Stowarzyszenie Gospodyń Wiejskich w Andrychowie -„ Spotkajmy się razem” - dotacja w wysokości 2 000,00 zł - spotkania integracyjne i biesiada dla około 50 seniorek Polski Związek Emerytów, Rencistów i Inwalidów w Warszawie, Oddział w Andrychowie – </w:t>
            </w:r>
            <w:r>
              <w:rPr>
                <w:rFonts w:ascii="Verdana" w:hAnsi="Verdana"/>
              </w:rPr>
              <w:lastRenderedPageBreak/>
              <w:t xml:space="preserve">„Seniorze wzmacniaj odporność organizmu ”Dotacja w wysokości 3 000,00 zł - wyjazd do Chochołowa dla grupy 50 emerytów Stowarzyszenie „Uniwersytet Trzeciego Wieku w Andrychowie” - „Aktywny Senior”  dotacja w wysokości 4 000,00 zł - udział 45 seniorów (17 zawodników i 28 kibiców) w Międzynarodowej Letniej Olimpiadzie </w:t>
            </w:r>
            <w:r>
              <w:rPr>
                <w:rFonts w:ascii="Verdana" w:hAnsi="Verdana"/>
              </w:rPr>
              <w:lastRenderedPageBreak/>
              <w:t xml:space="preserve">Seniorów w Chorzowie </w:t>
            </w:r>
          </w:p>
          <w:p w14:paraId="729F46D1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zorganizowanych spotkań : 2</w:t>
            </w:r>
          </w:p>
          <w:p w14:paraId="636CAFA4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uczestników &gt;100</w:t>
            </w:r>
          </w:p>
          <w:p w14:paraId="5B9B202F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w wieku podeszłym korzystających z zajęć: &gt;100</w:t>
            </w:r>
          </w:p>
          <w:p w14:paraId="692EA3B5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starszych, niesamodzielnych, niepełnosprawnych biorąca udział w aktywnej integracji: &gt;100</w:t>
            </w:r>
          </w:p>
          <w:p w14:paraId="3D4B4187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np. działalność KIS </w:t>
            </w:r>
            <w:r>
              <w:rPr>
                <w:rFonts w:ascii="Verdana" w:hAnsi="Verdana"/>
              </w:rPr>
              <w:lastRenderedPageBreak/>
              <w:t xml:space="preserve">(wyjazdy spotkania grupa wsparcia), obchody Dnia Seniora, akcje </w:t>
            </w:r>
            <w:proofErr w:type="spellStart"/>
            <w:r>
              <w:rPr>
                <w:rFonts w:ascii="Verdana" w:hAnsi="Verdana"/>
              </w:rPr>
              <w:t>charytatywne„Bieg</w:t>
            </w:r>
            <w:proofErr w:type="spellEnd"/>
            <w:r>
              <w:rPr>
                <w:rFonts w:ascii="Verdana" w:hAnsi="Verdana"/>
              </w:rPr>
              <w:t xml:space="preserve"> po serce zbója' działalność szkół i przedszkoli integracyjnych (pikniki rodzinne)działalność Fundacji Promyczek (WTZ, bal charytatywny, itp.)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1DABA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3</w:t>
            </w:r>
          </w:p>
          <w:p w14:paraId="0C4F6783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</w:t>
            </w:r>
          </w:p>
          <w:p w14:paraId="5D42BC65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3</w:t>
            </w:r>
          </w:p>
          <w:p w14:paraId="6442442F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384723" w14:paraId="63EEE3B5" w14:textId="77777777">
        <w:trPr>
          <w:trHeight w:val="1061"/>
        </w:trPr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EFE9FF" w14:textId="77777777" w:rsidR="00384723" w:rsidRDefault="00000000">
            <w:pPr>
              <w:pStyle w:val="Nagwek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 strategiczny II</w:t>
            </w:r>
            <w:r>
              <w:rPr>
                <w:sz w:val="24"/>
                <w:szCs w:val="24"/>
              </w:rPr>
              <w:br/>
              <w:t>Przeciwdziałanie ubóstwu, bezrobociu i wykluczeniu społecznemu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F0BA7E" w14:textId="77777777" w:rsidR="00384723" w:rsidRDefault="00000000">
            <w:pPr>
              <w:pStyle w:val="Nagwek2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Cel operacyjny II.1</w:t>
            </w:r>
            <w:r>
              <w:rPr>
                <w:b w:val="0"/>
                <w:sz w:val="24"/>
                <w:szCs w:val="24"/>
              </w:rPr>
              <w:br/>
              <w:t>Tworzenie warunków do rozwoju zawodowego oraz przeciwdziałanie marginalizacji i wykluczeniu społecznemu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2F7254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1. Podejmowanie działań zabezpieczająco-pomocowych na rzecz osób w trudnej sytuacji materialno-życiowej i ich rodzin</w:t>
            </w:r>
          </w:p>
          <w:p w14:paraId="4941D269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samorząd gminny, NGO</w:t>
            </w:r>
          </w:p>
          <w:p w14:paraId="7D31F470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2.Wzmocnienie partnerstwa instytucji rynku pracy oraz instytucji pomocy społecznej</w:t>
            </w:r>
          </w:p>
          <w:p w14:paraId="007B54EB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Realizatorzy: OPS, </w:t>
            </w:r>
            <w:r>
              <w:rPr>
                <w:rFonts w:ascii="Verdana" w:hAnsi="Verdana"/>
              </w:rPr>
              <w:lastRenderedPageBreak/>
              <w:t>samorząd gminny, NGO, firmy lokalne</w:t>
            </w:r>
          </w:p>
          <w:p w14:paraId="167561F6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3. Wspieranie działań i programów aktywizacji społecznej i zawodowej w pokonywaniu bezradności klientów pomocy społecznej</w:t>
            </w:r>
          </w:p>
          <w:p w14:paraId="303BE2C0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PUP, placówki oświatowe, MRS, samorząd gminny</w:t>
            </w:r>
          </w:p>
          <w:p w14:paraId="0476B090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4. Wspieranie działań w zakresie pomocy prawnej lub psychologicznej osób zagrożonych </w:t>
            </w:r>
            <w:r>
              <w:rPr>
                <w:rFonts w:ascii="Verdana" w:hAnsi="Verdana"/>
              </w:rPr>
              <w:lastRenderedPageBreak/>
              <w:t>wykluczeniem społecznym</w:t>
            </w:r>
          </w:p>
          <w:p w14:paraId="5860471C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PUP, NGO, samorząd gminny</w:t>
            </w:r>
          </w:p>
          <w:p w14:paraId="0094E79D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5. Pobudzanie i wzmacnianie systemu motywacji oraz przekazywanie praktycznych umiejętności w celu aktywnego poruszania się na rynku pracy</w:t>
            </w:r>
          </w:p>
          <w:p w14:paraId="6B861327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PUP, NGO, samorząd gminny</w:t>
            </w:r>
          </w:p>
          <w:p w14:paraId="1199A3F3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6.Budowanie i wzmacnianie kompetencji oraz zachowań społecznych u osób i rodzin z problemem bezrobocia</w:t>
            </w:r>
          </w:p>
          <w:p w14:paraId="4E336C21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PUP, NGO, samorząd gminny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C81970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Liczba udzielonych świadczeń: 62600</w:t>
            </w:r>
          </w:p>
          <w:p w14:paraId="0884A34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udzielonych porad:   1093</w:t>
            </w:r>
          </w:p>
          <w:p w14:paraId="63796AA2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objętych pracą socjalną: 509</w:t>
            </w:r>
          </w:p>
          <w:p w14:paraId="43FCA264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udzielonych świadczeń: brak</w:t>
            </w:r>
          </w:p>
          <w:p w14:paraId="4DEEB27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wprowadzonych usług: brak</w:t>
            </w:r>
          </w:p>
          <w:p w14:paraId="59424F48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Liczba zrealizowanych lub wspartych w realizacji programów: 1. Działalność Klubu Integracji Społecznej w A-chowie Ilość spotkań: 103 (grupa </w:t>
            </w:r>
            <w:r>
              <w:rPr>
                <w:rFonts w:ascii="Verdana" w:hAnsi="Verdana"/>
              </w:rPr>
              <w:lastRenderedPageBreak/>
              <w:t xml:space="preserve">wsparcia 43, Zajęcia integracyjne Ukraina 11, język polski  33, wycieczki (bombki i kino Kraków) 2 pozostałe (spotkania indywidualne - porady indywidualne, </w:t>
            </w:r>
            <w:proofErr w:type="spellStart"/>
            <w:r>
              <w:rPr>
                <w:rFonts w:ascii="Verdana" w:hAnsi="Verdana"/>
              </w:rPr>
              <w:t>przygot</w:t>
            </w:r>
            <w:proofErr w:type="spellEnd"/>
            <w:r>
              <w:rPr>
                <w:rFonts w:ascii="Verdana" w:hAnsi="Verdana"/>
              </w:rPr>
              <w:t>. akcesoriów na kiermasz, relaksacja; zajęcia dla rodzin z dziećmi 14)</w:t>
            </w:r>
          </w:p>
          <w:p w14:paraId="5FE8703F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zorganizowanych działań promocyjnych :3(PUP)</w:t>
            </w:r>
          </w:p>
          <w:p w14:paraId="7326FAB9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Liczba osób, które </w:t>
            </w:r>
            <w:r>
              <w:rPr>
                <w:rFonts w:ascii="Verdana" w:hAnsi="Verdana"/>
              </w:rPr>
              <w:lastRenderedPageBreak/>
              <w:t>skorzystały z doradztwa zawodowego: 861(technikum: ok.  125, branżowa szkoła I stopnia: ok. 110, PUP  520, KIS - Polska: 39, Ukraina 67 )</w:t>
            </w:r>
          </w:p>
          <w:p w14:paraId="396D833E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zajęcia z grupowego doradztwa zawodowego liczba osób korzystających: 520(PUP ) liczba odbytych konsultacji: 520 (PUP ) Liczba osób objętych programem wsparcia: 520 (PUP ) </w:t>
            </w:r>
            <w:r>
              <w:rPr>
                <w:rFonts w:ascii="Verdana" w:hAnsi="Verdana"/>
              </w:rPr>
              <w:lastRenderedPageBreak/>
              <w:t>Liczba osób/rodzin objętych wsparciem: 520 (PUP )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50BB10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5</w:t>
            </w:r>
          </w:p>
          <w:p w14:paraId="692530F9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</w:t>
            </w:r>
          </w:p>
          <w:p w14:paraId="52D4AA54" w14:textId="77777777" w:rsidR="00384723" w:rsidRDefault="00384723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</w:p>
          <w:p w14:paraId="43974B9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</w:t>
            </w:r>
          </w:p>
          <w:p w14:paraId="1E3C5326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4</w:t>
            </w:r>
          </w:p>
          <w:p w14:paraId="0B4EAA7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384723" w14:paraId="7289E252" w14:textId="77777777" w:rsidTr="00401936"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A28B57" w14:textId="77777777" w:rsidR="00384723" w:rsidRDefault="00000000">
            <w:pPr>
              <w:pStyle w:val="Nagwek1"/>
              <w:widowContro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Cel strategiczny II</w:t>
            </w:r>
            <w:r>
              <w:rPr>
                <w:rFonts w:ascii="Arial" w:hAnsi="Arial"/>
                <w:sz w:val="24"/>
                <w:szCs w:val="24"/>
              </w:rPr>
              <w:br/>
              <w:t>Przeciwdziałanie ubóstwu, bezrobociu i wykluczeniu społecznemu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C87AB9" w14:textId="77777777" w:rsidR="00384723" w:rsidRDefault="00000000">
            <w:pPr>
              <w:pStyle w:val="Nagwek2"/>
              <w:widowControl w:val="0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Cel operacyjny II.2</w:t>
            </w:r>
            <w:r>
              <w:rPr>
                <w:rFonts w:ascii="Arial" w:hAnsi="Arial"/>
                <w:b w:val="0"/>
                <w:sz w:val="24"/>
                <w:szCs w:val="24"/>
              </w:rPr>
              <w:br/>
              <w:t>Wykorzystanie instrumentów ekonomii społecznej w procesie włączania osób wykluczonych na rynek pracy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16" w:type="dxa"/>
              <w:bottom w:w="57" w:type="dxa"/>
              <w:right w:w="57" w:type="dxa"/>
            </w:tcMar>
          </w:tcPr>
          <w:p w14:paraId="5218D72F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1.Wspieranie inicjatyw partnerskich na rzecz ekonomii społecznej</w:t>
            </w:r>
          </w:p>
          <w:p w14:paraId="1E0406F5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Realizatorzy: OPS, PUP, NGO, samorząd gminny</w:t>
            </w:r>
          </w:p>
          <w:p w14:paraId="1B8BB987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 Wspieranie rozwoju podmiotów ekonomii społecznej (spółdzielnie socjalne, zakłady aktywności zawodowej)</w:t>
            </w:r>
          </w:p>
          <w:p w14:paraId="5A591F52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Realizatorzy: OPS, PUP, NGO, samorząd gminny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16" w:type="dxa"/>
              <w:bottom w:w="57" w:type="dxa"/>
              <w:right w:w="57" w:type="dxa"/>
            </w:tcMar>
          </w:tcPr>
          <w:p w14:paraId="28137E3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przeprowadzonych kampanii - brak</w:t>
            </w:r>
          </w:p>
          <w:p w14:paraId="0EDE776D" w14:textId="77777777" w:rsidR="00384723" w:rsidRDefault="00384723">
            <w:pPr>
              <w:pStyle w:val="Akapitzlist"/>
              <w:widowControl w:val="0"/>
              <w:spacing w:after="0"/>
              <w:contextualSpacing/>
              <w:jc w:val="left"/>
              <w:rPr>
                <w:rFonts w:ascii="Arial" w:hAnsi="Arial"/>
              </w:rPr>
            </w:pPr>
          </w:p>
          <w:p w14:paraId="079849D9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Liczba materiałów promocyjnych - brak</w:t>
            </w:r>
          </w:p>
          <w:p w14:paraId="7855B49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Liczba zorganizowanych spotkań - brak</w:t>
            </w:r>
          </w:p>
          <w:p w14:paraId="0AFEE060" w14:textId="77777777" w:rsidR="00384723" w:rsidRDefault="00384723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Arial" w:hAnsi="Arial"/>
              </w:rPr>
            </w:pPr>
          </w:p>
          <w:p w14:paraId="6EF287B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uczestników : 0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4E0E5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84723" w14:paraId="6FA8C1FF" w14:textId="77777777"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BC4A24" w14:textId="77777777" w:rsidR="00384723" w:rsidRDefault="00000000">
            <w:pPr>
              <w:pStyle w:val="Nagwek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strategiczny II</w:t>
            </w:r>
            <w:r>
              <w:rPr>
                <w:sz w:val="24"/>
                <w:szCs w:val="24"/>
              </w:rPr>
              <w:br/>
              <w:t xml:space="preserve">Przeciwdziałanie ubóstwu, bezrobociu i wykluczeniu </w:t>
            </w:r>
            <w:r>
              <w:rPr>
                <w:sz w:val="24"/>
                <w:szCs w:val="24"/>
              </w:rPr>
              <w:lastRenderedPageBreak/>
              <w:t>społecznemu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7525B7" w14:textId="77777777" w:rsidR="00384723" w:rsidRDefault="00000000">
            <w:pPr>
              <w:pStyle w:val="Nagwek2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Cel operacyjny II.3</w:t>
            </w:r>
            <w:r>
              <w:rPr>
                <w:b w:val="0"/>
                <w:sz w:val="24"/>
                <w:szCs w:val="24"/>
              </w:rPr>
              <w:br/>
              <w:t xml:space="preserve">Zapewnienie bezpieczeństwa socjalnego oraz </w:t>
            </w:r>
            <w:r>
              <w:rPr>
                <w:b w:val="0"/>
                <w:sz w:val="24"/>
                <w:szCs w:val="24"/>
              </w:rPr>
              <w:lastRenderedPageBreak/>
              <w:t>stwarzanie mieszkańcom gminy warunków do rozwoju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34A0C5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 xml:space="preserve">1. Wspieranie osób znajdujących się w trudnej sytuacji bytowej i wymagających </w:t>
            </w:r>
            <w:r>
              <w:rPr>
                <w:rFonts w:ascii="Verdana" w:hAnsi="Verdana"/>
              </w:rPr>
              <w:lastRenderedPageBreak/>
              <w:t>aktywizacji, w tym pozostających bez pracy. Realizatorzy: OPS, PUP, NGO, samorząd gminny</w:t>
            </w:r>
          </w:p>
          <w:p w14:paraId="2B085D64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2. Podejmowanie wśród osób i rodzin znajdujących się w trudnej sytuacji materialnej działań edukacyjnych służących poprawie ich położenia oraz zapobieganiu zjawisku dziedziczenia bezrobocia i biedy</w:t>
            </w:r>
          </w:p>
          <w:p w14:paraId="7AF3852A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Realizatorzy: OPS, PUP, placówki oświatowe, samorząd gminny, NGO</w:t>
            </w:r>
          </w:p>
          <w:p w14:paraId="6B48932B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3.Udzielanie pomocy dzieciom pochodzącym z rodzin ubogich, m.in. poprzez prowadzenie dożywania w szkołach, pomoc stypendialną</w:t>
            </w:r>
          </w:p>
          <w:p w14:paraId="5A42BCA6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OPS, placówki oświatowe, samorząd gminny, NGO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4C1906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Liczba rodzaju zajęć: 4</w:t>
            </w:r>
          </w:p>
          <w:p w14:paraId="7B68EA85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(PUP )</w:t>
            </w:r>
          </w:p>
          <w:p w14:paraId="02F9ED60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Liczba osób w wieku podeszłym korzystających z </w:t>
            </w:r>
            <w:r>
              <w:rPr>
                <w:rFonts w:ascii="Verdana" w:hAnsi="Verdana"/>
              </w:rPr>
              <w:lastRenderedPageBreak/>
              <w:t>zajęć:26</w:t>
            </w:r>
          </w:p>
          <w:p w14:paraId="4914357F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(PUP )</w:t>
            </w:r>
          </w:p>
          <w:p w14:paraId="275516C4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objętych praca socjalną: 1093</w:t>
            </w:r>
          </w:p>
          <w:p w14:paraId="06572E94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osób korzystających ze wsparcia specjalistów:520</w:t>
            </w:r>
          </w:p>
          <w:p w14:paraId="59A2A148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(PUP - doradcy zawodowi ) </w:t>
            </w:r>
          </w:p>
          <w:p w14:paraId="4F1225DD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dzieci korzystających ze wsparcia: 51</w:t>
            </w:r>
          </w:p>
          <w:p w14:paraId="06437FE8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Liczba udzielonych stypendiów 51</w:t>
            </w:r>
          </w:p>
          <w:p w14:paraId="668E9AFB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dożywianie dzieci: 151</w:t>
            </w:r>
          </w:p>
          <w:p w14:paraId="07DC75C4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(OPS - posiłki dla </w:t>
            </w:r>
            <w:r>
              <w:rPr>
                <w:rFonts w:ascii="Verdana" w:hAnsi="Verdana"/>
              </w:rPr>
              <w:lastRenderedPageBreak/>
              <w:t xml:space="preserve">dzieci </w:t>
            </w:r>
            <w:proofErr w:type="spellStart"/>
            <w:r>
              <w:rPr>
                <w:rFonts w:ascii="Verdana" w:hAnsi="Verdana"/>
              </w:rPr>
              <w:t>imłodzieży</w:t>
            </w:r>
            <w:proofErr w:type="spellEnd"/>
            <w:r>
              <w:rPr>
                <w:rFonts w:ascii="Verdana" w:hAnsi="Verdana"/>
              </w:rPr>
              <w:t>: 6543 świadczeń, szkoły- przeprowadzenie zbiórki żywności „Tak pomagam” przygotowano 11 paczek dla potrzebujących rodzin uczniów )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9E86DE" w14:textId="77777777" w:rsidR="00384723" w:rsidRDefault="00000000">
            <w:pPr>
              <w:pStyle w:val="Akapitzlist"/>
              <w:widowControl w:val="0"/>
              <w:spacing w:after="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4</w:t>
            </w:r>
          </w:p>
        </w:tc>
      </w:tr>
      <w:tr w:rsidR="00384723" w14:paraId="41EB1FCD" w14:textId="77777777"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273B30" w14:textId="77777777" w:rsidR="00384723" w:rsidRDefault="00000000">
            <w:pPr>
              <w:widowControl w:val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lastRenderedPageBreak/>
              <w:t>Cel strategiczny</w:t>
            </w:r>
          </w:p>
          <w:p w14:paraId="54167B79" w14:textId="77777777" w:rsidR="00384723" w:rsidRDefault="00000000">
            <w:pPr>
              <w:widowControl w:val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 xml:space="preserve"> III</w:t>
            </w:r>
            <w:r>
              <w:rPr>
                <w:rFonts w:ascii="Verdana" w:hAnsi="Verdana" w:cs="Arial"/>
              </w:rPr>
              <w:br/>
              <w:t xml:space="preserve">Podniesienie poziomu </w:t>
            </w:r>
            <w:r>
              <w:rPr>
                <w:rFonts w:ascii="Verdana" w:hAnsi="Verdana" w:cs="Arial"/>
              </w:rPr>
              <w:lastRenderedPageBreak/>
              <w:t>bezpieczeństwa publicznego w gminie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8BC564" w14:textId="77777777" w:rsidR="00384723" w:rsidRDefault="00384723">
            <w:pPr>
              <w:widowControl w:val="0"/>
              <w:jc w:val="left"/>
              <w:rPr>
                <w:rFonts w:ascii="Verdana" w:hAnsi="Verdana" w:hint="eastAsia"/>
              </w:rPr>
            </w:pPr>
          </w:p>
          <w:p w14:paraId="762097DE" w14:textId="77777777" w:rsidR="00384723" w:rsidRDefault="00000000">
            <w:pPr>
              <w:widowControl w:val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Cel operacyjny </w:t>
            </w:r>
          </w:p>
          <w:p w14:paraId="5B6F1A4E" w14:textId="77777777" w:rsidR="00384723" w:rsidRDefault="00000000">
            <w:pPr>
              <w:widowControl w:val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Zintegrowane działania </w:t>
            </w:r>
            <w:r>
              <w:rPr>
                <w:rFonts w:ascii="Verdana" w:hAnsi="Verdana"/>
              </w:rPr>
              <w:lastRenderedPageBreak/>
              <w:t>profilaktyczne i edukacyjno- wychowawcze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510983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lastRenderedPageBreak/>
              <w:t xml:space="preserve">1.Przeciwdziałanie przestępczości, w tym </w:t>
            </w:r>
            <w:r>
              <w:rPr>
                <w:rFonts w:ascii="Verdana" w:hAnsi="Verdana" w:cs="Arial"/>
              </w:rPr>
              <w:lastRenderedPageBreak/>
              <w:t>wśród nieletnich</w:t>
            </w:r>
          </w:p>
          <w:p w14:paraId="4FE6C500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Realizatorzy: Policja, Straż Miejska, samorząd gminny, NGO</w:t>
            </w:r>
          </w:p>
          <w:p w14:paraId="632065BE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 xml:space="preserve">2. Podejmowanie przedsięwzięć profilaktycznych,  edukacyjnych i informacyjnych poświęconych przestępczości </w:t>
            </w:r>
          </w:p>
          <w:p w14:paraId="6CEC1492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Realizatorzy: Policja, Straż Miejska, samorząd gminny, NGO</w:t>
            </w:r>
          </w:p>
          <w:p w14:paraId="37DE0A1E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lastRenderedPageBreak/>
              <w:t>3. Zapewnienie dzieciom i młodzieży alternatywnych form spędzania czasu wolnego</w:t>
            </w:r>
          </w:p>
          <w:p w14:paraId="5C36FC16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Realizatorzy: OPS, placówki oświatowe, samorząd gminny, Centrum Kultury i Wypoczynku</w:t>
            </w:r>
          </w:p>
          <w:p w14:paraId="4471B401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4. Realizacja profilaktyki alkoholowej na terenie gminy</w:t>
            </w:r>
          </w:p>
          <w:p w14:paraId="5913664D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 xml:space="preserve">Realizatorzy: OPS, NGO, samorząd </w:t>
            </w:r>
            <w:r>
              <w:rPr>
                <w:rFonts w:ascii="Verdana" w:hAnsi="Verdana" w:cs="Arial"/>
              </w:rPr>
              <w:lastRenderedPageBreak/>
              <w:t>gminny, placówki oświatowe</w:t>
            </w:r>
          </w:p>
          <w:p w14:paraId="58486CF1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5. Przeciwdziałanie przemocy w rodzinie</w:t>
            </w:r>
          </w:p>
          <w:p w14:paraId="6D8832A3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Realizatorzy: OPS, NGO, samorząd gminny, placówki oświatowe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0B964C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lastRenderedPageBreak/>
              <w:t>Liczba prelekcji, pogadanek: 78</w:t>
            </w:r>
          </w:p>
          <w:p w14:paraId="6091977B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color w:val="000000"/>
              </w:rPr>
              <w:lastRenderedPageBreak/>
              <w:t>(18 szkoły,  60 spotkań Policja)</w:t>
            </w:r>
          </w:p>
          <w:p w14:paraId="4C6D3A86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Liczba udzielonych porad: &gt;58</w:t>
            </w:r>
          </w:p>
          <w:p w14:paraId="156B15A7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Liczba osób objętych wsparciem&gt;3500</w:t>
            </w:r>
          </w:p>
          <w:p w14:paraId="482A5B85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color w:val="000000"/>
              </w:rPr>
              <w:t>(696 szkoły,  2960 - Policja)</w:t>
            </w:r>
          </w:p>
          <w:p w14:paraId="1C05CB78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Liczba prelekcji, pogadanek &gt;100</w:t>
            </w:r>
          </w:p>
          <w:p w14:paraId="255B7F61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(szkoł</w:t>
            </w:r>
            <w:r>
              <w:rPr>
                <w:rFonts w:ascii="Verdana" w:hAnsi="Verdana" w:cs="Arial"/>
                <w:color w:val="000000"/>
              </w:rPr>
              <w:t>y, Policja, Straż Miejska )</w:t>
            </w:r>
          </w:p>
          <w:p w14:paraId="42327C56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Liczba osób objętych wsparciem &gt; 2000</w:t>
            </w:r>
          </w:p>
          <w:p w14:paraId="25D8CFC0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 xml:space="preserve">Liczba zrealizowanych </w:t>
            </w:r>
            <w:r>
              <w:rPr>
                <w:rFonts w:ascii="Verdana" w:hAnsi="Verdana" w:cs="Arial"/>
              </w:rPr>
              <w:lastRenderedPageBreak/>
              <w:t>działań:&gt; 200</w:t>
            </w:r>
          </w:p>
          <w:p w14:paraId="09A6D0CB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(97 szkoły, 160 CKIW, 15 Straż Miejska)</w:t>
            </w:r>
          </w:p>
          <w:p w14:paraId="5FA4BFA1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Liczba dzieci i młodzieży uczestniczących w zajęciach&gt; 10 000</w:t>
            </w:r>
          </w:p>
          <w:p w14:paraId="4E58730E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 xml:space="preserve">(dane szacunkowe na podstawie szkół, </w:t>
            </w:r>
            <w:proofErr w:type="spellStart"/>
            <w:r>
              <w:rPr>
                <w:rFonts w:ascii="Verdana" w:hAnsi="Verdana" w:cs="Arial"/>
              </w:rPr>
              <w:t>CKiW</w:t>
            </w:r>
            <w:proofErr w:type="spellEnd"/>
            <w:r>
              <w:rPr>
                <w:rFonts w:ascii="Verdana" w:hAnsi="Verdana" w:cs="Arial"/>
              </w:rPr>
              <w:t>, Straży Miejskiej)</w:t>
            </w:r>
          </w:p>
          <w:p w14:paraId="3242CBAF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Liczba osób korzystających: &gt; 3600</w:t>
            </w:r>
          </w:p>
          <w:p w14:paraId="478CCC1E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 xml:space="preserve">(szkoły: 300 , prelekcje z policjantem: ok. 150 </w:t>
            </w:r>
            <w:r>
              <w:rPr>
                <w:rFonts w:ascii="Verdana" w:hAnsi="Verdana" w:cs="Arial"/>
              </w:rPr>
              <w:lastRenderedPageBreak/>
              <w:t>uczniów, OPS)</w:t>
            </w:r>
          </w:p>
          <w:p w14:paraId="7F7F890A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Liczba zrealizowanych działań profilaktycznych:28</w:t>
            </w:r>
          </w:p>
          <w:p w14:paraId="5AB94549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(wg sprawozdania z Gminnego programu profilaktyki...”)</w:t>
            </w:r>
          </w:p>
          <w:p w14:paraId="10A3D6B7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 xml:space="preserve">Liczba działań profilaktycznych: 1 </w:t>
            </w:r>
          </w:p>
          <w:p w14:paraId="7870F21C" w14:textId="77777777" w:rsidR="00384723" w:rsidRDefault="00000000">
            <w:pPr>
              <w:pStyle w:val="Akapitzlist"/>
              <w:widowControl w:val="0"/>
              <w:spacing w:after="160"/>
              <w:ind w:left="0"/>
              <w:contextualSpacing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„Gminny program przeciwdziałania przemocy w rodzinie...”</w:t>
            </w:r>
          </w:p>
          <w:p w14:paraId="20050EE4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</w:rPr>
              <w:t>Liczba procedur „Niebieskie Karty”:76</w:t>
            </w:r>
          </w:p>
        </w:tc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18F7E6" w14:textId="77777777" w:rsidR="00384723" w:rsidRDefault="00000000">
            <w:pPr>
              <w:pStyle w:val="Akapitzlist"/>
              <w:widowControl w:val="0"/>
              <w:ind w:left="0"/>
              <w:jc w:val="left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5</w:t>
            </w:r>
          </w:p>
        </w:tc>
      </w:tr>
    </w:tbl>
    <w:p w14:paraId="742FCF04" w14:textId="77777777" w:rsidR="00384723" w:rsidRDefault="00384723">
      <w:pPr>
        <w:jc w:val="left"/>
        <w:rPr>
          <w:rFonts w:ascii="Verdana" w:hAnsi="Verdana" w:hint="eastAsia"/>
        </w:rPr>
      </w:pPr>
    </w:p>
    <w:p w14:paraId="6925BA98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  <w:b/>
          <w:bCs/>
        </w:rPr>
        <w:lastRenderedPageBreak/>
        <w:t xml:space="preserve"> Wnioski i rekomendacje zespołu oceniającego do dalszego wdrażania Strategii.</w:t>
      </w:r>
    </w:p>
    <w:p w14:paraId="67745A05" w14:textId="77777777" w:rsidR="00384723" w:rsidRDefault="00384723">
      <w:pPr>
        <w:jc w:val="left"/>
        <w:rPr>
          <w:rFonts w:ascii="Verdana" w:hAnsi="Verdana" w:hint="eastAsia"/>
        </w:rPr>
      </w:pPr>
    </w:p>
    <w:p w14:paraId="75AE54DE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>Dokonując oceny działań strategicznych w 2022 roku,  najwyżej oceniono poziom wdrożenia działań służących p</w:t>
      </w:r>
      <w:r>
        <w:rPr>
          <w:rFonts w:ascii="Verdana" w:hAnsi="Verdana" w:cs="Arial"/>
        </w:rPr>
        <w:t>odniesieniu poziomu bezpieczeństwa publicznego w gminie, zmierzających do ograniczenia przestępczości wśród młodocianych, w</w:t>
      </w:r>
      <w:r>
        <w:rPr>
          <w:rFonts w:ascii="Verdana" w:hAnsi="Verdana"/>
        </w:rPr>
        <w:t>zrostu zasobu wiedzy mieszkańców na temat przestępczości i jej skutków, w</w:t>
      </w:r>
      <w:r>
        <w:rPr>
          <w:rFonts w:ascii="Verdana" w:hAnsi="Verdana" w:cs="Arial"/>
        </w:rPr>
        <w:t xml:space="preserve">zrost profilaktyki zapobiegania uzależnieniom wśród dzieci i młodzieży, przeciwdziałania uzależnieniom i przemocy w rodzinie (Cel strategiczny III Podniesienie poziomu bezpieczeństwa publicznego w gminie). Osiągnięto tutaj poziom pełnego i skutecznego wdrożenia - ocena 5.  </w:t>
      </w:r>
    </w:p>
    <w:p w14:paraId="3BFACDCC" w14:textId="77777777" w:rsidR="00384723" w:rsidRDefault="00000000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 xml:space="preserve">Na najniższym stopniu wdrożenia oceniono działania w celu strategicznym II: Przeciwdziałanie ubóstwu, bezrobociu i wykluczeniu społecznemu </w:t>
      </w:r>
      <w:r>
        <w:rPr>
          <w:rStyle w:val="Odwoanieprzypisudolnego"/>
          <w:rFonts w:ascii="Verdana" w:hAnsi="Verdana"/>
        </w:rPr>
        <w:footnoteReference w:customMarkFollows="1" w:id="1"/>
        <w:t>*</w:t>
      </w:r>
      <w:r>
        <w:rPr>
          <w:rFonts w:ascii="Verdana" w:hAnsi="Verdana"/>
        </w:rPr>
        <w:t xml:space="preserve">: </w:t>
      </w:r>
    </w:p>
    <w:p w14:paraId="1FB5DC69" w14:textId="77777777" w:rsidR="00384723" w:rsidRDefault="00000000">
      <w:pPr>
        <w:numPr>
          <w:ilvl w:val="0"/>
          <w:numId w:val="4"/>
        </w:numPr>
        <w:jc w:val="left"/>
      </w:pPr>
      <w:r>
        <w:rPr>
          <w:rFonts w:ascii="Verdana" w:hAnsi="Verdana"/>
        </w:rPr>
        <w:t>(Cel operacyjny II.1 Tworzenie warunków do rozwoju zawodowego oraz przeciwdziałanie marginalizacji i wykluczeniu społecznemu). - kierunek „Wzmocnienie partnerstwa instytucji rynku pracy oraz instytucji pomocy społecznej”</w:t>
      </w:r>
    </w:p>
    <w:p w14:paraId="1ED55EB2" w14:textId="77777777" w:rsidR="00384723" w:rsidRDefault="00000000">
      <w:pPr>
        <w:numPr>
          <w:ilvl w:val="0"/>
          <w:numId w:val="3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 xml:space="preserve"> (Cel operacyjny II.2 Wykorzystanie instrumentów ekonomii społecznej w procesie włączania osób wykluczonych na rynek pracy) kierunek:1.  „Wspieranie inicjatyw partnerskich na rzecz ekonomii społecznej” oraz kierunek 2. „Wspieranie rozwoju podmiotów ekonomii społecznej (spółdzielnie socjalne, zakłady aktywności zawodowej)”.</w:t>
      </w:r>
    </w:p>
    <w:p w14:paraId="7A9E8F21" w14:textId="77777777" w:rsidR="00384723" w:rsidRDefault="00000000">
      <w:pPr>
        <w:numPr>
          <w:ilvl w:val="0"/>
          <w:numId w:val="3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 xml:space="preserve">W związku z powyższym,  na kolejny rok realizacji Strategii Rozwiązywania Problemów Społecznych Gminy Andrychów </w:t>
      </w:r>
      <w:bookmarkStart w:id="3" w:name="__DdeLink__2097_9568842521"/>
      <w:bookmarkEnd w:id="3"/>
      <w:r>
        <w:rPr>
          <w:rFonts w:ascii="Verdana" w:hAnsi="Verdana"/>
        </w:rPr>
        <w:t xml:space="preserve">na lata 2021-2027, zespół oceniający  rekomenduje, zwiększenie stopnia wdrożenia działań </w:t>
      </w:r>
      <w:r>
        <w:rPr>
          <w:rFonts w:ascii="Verdana" w:hAnsi="Verdana"/>
        </w:rPr>
        <w:lastRenderedPageBreak/>
        <w:t xml:space="preserve">w zakresie budowania partnerstwa instytucji rynku pracy oraz rozwoju ekonomii społecznej w Gminie Andrychów. </w:t>
      </w:r>
    </w:p>
    <w:sectPr w:rsidR="00384723"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45D9" w14:textId="77777777" w:rsidR="0071725A" w:rsidRDefault="0071725A">
      <w:pPr>
        <w:spacing w:line="240" w:lineRule="auto"/>
      </w:pPr>
      <w:r>
        <w:separator/>
      </w:r>
    </w:p>
  </w:endnote>
  <w:endnote w:type="continuationSeparator" w:id="0">
    <w:p w14:paraId="20C30946" w14:textId="77777777" w:rsidR="0071725A" w:rsidRDefault="0071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9EBC" w14:textId="77777777" w:rsidR="0071725A" w:rsidRDefault="0071725A">
      <w:pPr>
        <w:rPr>
          <w:sz w:val="12"/>
        </w:rPr>
      </w:pPr>
      <w:r>
        <w:separator/>
      </w:r>
    </w:p>
  </w:footnote>
  <w:footnote w:type="continuationSeparator" w:id="0">
    <w:p w14:paraId="61A86749" w14:textId="77777777" w:rsidR="0071725A" w:rsidRDefault="0071725A">
      <w:pPr>
        <w:rPr>
          <w:sz w:val="12"/>
        </w:rPr>
      </w:pPr>
      <w:r>
        <w:continuationSeparator/>
      </w:r>
    </w:p>
  </w:footnote>
  <w:footnote w:id="1">
    <w:p w14:paraId="1327FFF0" w14:textId="77777777" w:rsidR="00384723" w:rsidRDefault="00000000">
      <w:pPr>
        <w:pStyle w:val="Tekstprzypisudolnego"/>
      </w:pPr>
      <w:r>
        <w:rPr>
          <w:rStyle w:val="Znakiprzypiswdolnych"/>
        </w:rPr>
        <w:t>*</w:t>
      </w:r>
      <w:r>
        <w:tab/>
        <w:t xml:space="preserve"> W tabeli kierunki z najniższymi ocenami zaznaczono – szare pola.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EFF"/>
    <w:multiLevelType w:val="multilevel"/>
    <w:tmpl w:val="63147F4E"/>
    <w:lvl w:ilvl="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4"/>
        </w:tabs>
        <w:ind w:left="11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4"/>
        </w:tabs>
        <w:ind w:left="15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4"/>
        </w:tabs>
        <w:ind w:left="22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4"/>
        </w:tabs>
        <w:ind w:left="26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4"/>
        </w:tabs>
        <w:ind w:left="33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4"/>
        </w:tabs>
        <w:ind w:left="368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263730"/>
    <w:multiLevelType w:val="multilevel"/>
    <w:tmpl w:val="C94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416D47"/>
    <w:multiLevelType w:val="multilevel"/>
    <w:tmpl w:val="0D7A5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8628BF"/>
    <w:multiLevelType w:val="multilevel"/>
    <w:tmpl w:val="DE340E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140B2A"/>
    <w:multiLevelType w:val="multilevel"/>
    <w:tmpl w:val="DD1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6"/>
      </w:rPr>
    </w:lvl>
  </w:abstractNum>
  <w:num w:numId="1" w16cid:durableId="948852289">
    <w:abstractNumId w:val="3"/>
  </w:num>
  <w:num w:numId="2" w16cid:durableId="2104522261">
    <w:abstractNumId w:val="4"/>
  </w:num>
  <w:num w:numId="3" w16cid:durableId="8991826">
    <w:abstractNumId w:val="1"/>
  </w:num>
  <w:num w:numId="4" w16cid:durableId="1323193701">
    <w:abstractNumId w:val="0"/>
  </w:num>
  <w:num w:numId="5" w16cid:durableId="26177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23"/>
    <w:rsid w:val="00384723"/>
    <w:rsid w:val="00401936"/>
    <w:rsid w:val="0071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37DB"/>
  <w15:docId w15:val="{3D0BB945-BB46-4B6F-8B98-A48150E0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5D"/>
    <w:pPr>
      <w:spacing w:line="360" w:lineRule="auto"/>
      <w:jc w:val="both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C43336"/>
    <w:pPr>
      <w:keepNext/>
      <w:keepLines/>
      <w:spacing w:before="240" w:after="240"/>
      <w:jc w:val="left"/>
      <w:outlineLvl w:val="0"/>
    </w:pPr>
    <w:rPr>
      <w:rFonts w:ascii="Verdana" w:eastAsiaTheme="majorEastAsia" w:hAnsi="Verdana"/>
      <w:sz w:val="32"/>
      <w:szCs w:val="29"/>
    </w:rPr>
  </w:style>
  <w:style w:type="paragraph" w:styleId="Nagwek2">
    <w:name w:val="heading 2"/>
    <w:basedOn w:val="Normalny"/>
    <w:link w:val="Nagwek2Znak"/>
    <w:uiPriority w:val="9"/>
    <w:unhideWhenUsed/>
    <w:qFormat/>
    <w:rsid w:val="00C43336"/>
    <w:pPr>
      <w:keepNext/>
      <w:keepLines/>
      <w:spacing w:before="240" w:after="240"/>
      <w:jc w:val="left"/>
      <w:outlineLvl w:val="1"/>
    </w:pPr>
    <w:rPr>
      <w:rFonts w:ascii="Verdana" w:eastAsiaTheme="majorEastAsia" w:hAnsi="Verdana"/>
      <w:b/>
      <w:sz w:val="28"/>
      <w:szCs w:val="23"/>
    </w:rPr>
  </w:style>
  <w:style w:type="paragraph" w:styleId="Nagwek3">
    <w:name w:val="heading 3"/>
    <w:basedOn w:val="Normalny"/>
    <w:link w:val="Nagwek3Znak"/>
    <w:uiPriority w:val="9"/>
    <w:unhideWhenUsed/>
    <w:qFormat/>
    <w:rsid w:val="00C43336"/>
    <w:pPr>
      <w:keepNext/>
      <w:keepLines/>
      <w:spacing w:before="40"/>
      <w:jc w:val="left"/>
      <w:outlineLvl w:val="2"/>
    </w:pPr>
    <w:rPr>
      <w:rFonts w:ascii="Verdana" w:eastAsiaTheme="majorEastAsia" w:hAnsi="Verdana"/>
      <w:b/>
      <w:szCs w:val="21"/>
    </w:rPr>
  </w:style>
  <w:style w:type="paragraph" w:styleId="Nagwek4">
    <w:name w:val="heading 4"/>
    <w:basedOn w:val="Normalny"/>
    <w:link w:val="Nagwek4Znak"/>
    <w:uiPriority w:val="9"/>
    <w:unhideWhenUsed/>
    <w:qFormat/>
    <w:rsid w:val="00C43336"/>
    <w:pPr>
      <w:keepNext/>
      <w:keepLines/>
      <w:spacing w:before="40"/>
      <w:jc w:val="left"/>
      <w:outlineLvl w:val="3"/>
    </w:pPr>
    <w:rPr>
      <w:rFonts w:ascii="Verdana" w:eastAsiaTheme="majorEastAsia" w:hAnsi="Verdana"/>
      <w:b/>
      <w:iCs/>
      <w:szCs w:val="21"/>
    </w:rPr>
  </w:style>
  <w:style w:type="paragraph" w:styleId="Nagwek5">
    <w:name w:val="heading 5"/>
    <w:basedOn w:val="Normalny"/>
    <w:link w:val="Nagwek5Znak"/>
    <w:uiPriority w:val="9"/>
    <w:unhideWhenUsed/>
    <w:qFormat/>
    <w:rsid w:val="00C43336"/>
    <w:pPr>
      <w:keepNext/>
      <w:keepLines/>
      <w:spacing w:before="240" w:after="240"/>
      <w:jc w:val="left"/>
      <w:outlineLvl w:val="4"/>
    </w:pPr>
    <w:rPr>
      <w:rFonts w:ascii="Verdana" w:eastAsiaTheme="majorEastAsia" w:hAnsi="Verdana"/>
      <w:b/>
      <w:i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43336"/>
    <w:rPr>
      <w:rFonts w:ascii="Verdana" w:eastAsiaTheme="majorEastAsia" w:hAnsi="Verdana" w:cs="Mangal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43336"/>
    <w:rPr>
      <w:rFonts w:ascii="Verdana" w:eastAsiaTheme="majorEastAsia" w:hAnsi="Verdana" w:cs="Mangal"/>
      <w:b/>
      <w:sz w:val="28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43336"/>
    <w:rPr>
      <w:rFonts w:ascii="Verdana" w:eastAsiaTheme="majorEastAsia" w:hAnsi="Verdana" w:cs="Mangal"/>
      <w:b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43336"/>
    <w:rPr>
      <w:rFonts w:ascii="Verdana" w:eastAsiaTheme="majorEastAsia" w:hAnsi="Verdana" w:cs="Mangal"/>
      <w:b/>
      <w:iCs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43336"/>
    <w:rPr>
      <w:rFonts w:ascii="Verdana" w:eastAsiaTheme="majorEastAsia" w:hAnsi="Verdana" w:cs="Mangal"/>
      <w:b/>
      <w:i/>
      <w:sz w:val="24"/>
      <w:szCs w:val="21"/>
      <w:lang w:eastAsia="zh-CN" w:bidi="hi-IN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</w:style>
  <w:style w:type="paragraph" w:customStyle="1" w:styleId="Tekstpodstawowy1">
    <w:name w:val="Tekst podstawowy1"/>
    <w:basedOn w:val="Normalny"/>
    <w:rsid w:val="00BB5348"/>
    <w:pPr>
      <w:widowControl w:val="0"/>
      <w:spacing w:after="140" w:line="288" w:lineRule="auto"/>
      <w:jc w:val="left"/>
      <w:textAlignment w:val="auto"/>
    </w:pPr>
    <w:rPr>
      <w:rFonts w:ascii="Liberation Serif;Times New Roma" w:eastAsia="WenQuanYi Zen Hei Sharp" w:hAnsi="Liberation Serif;Times New Roma" w:cs="Lohit Devanagari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Akapitzlist1">
    <w:name w:val="Akapit z listą1"/>
    <w:basedOn w:val="Normalny"/>
    <w:qFormat/>
    <w:rsid w:val="00BB5348"/>
    <w:pPr>
      <w:widowControl w:val="0"/>
      <w:spacing w:after="200" w:line="240" w:lineRule="auto"/>
      <w:ind w:left="720"/>
      <w:jc w:val="left"/>
      <w:textAlignment w:val="auto"/>
    </w:pPr>
    <w:rPr>
      <w:rFonts w:ascii="Liberation Serif;Times New Roma" w:eastAsia="WenQuanYi Zen Hei Sharp" w:hAnsi="Liberation Serif;Times New Roma" w:cs="Lohit Devanagari"/>
    </w:rPr>
  </w:style>
  <w:style w:type="paragraph" w:styleId="NormalnyWeb">
    <w:name w:val="Normal (Web)"/>
    <w:basedOn w:val="Normalny"/>
    <w:semiHidden/>
    <w:unhideWhenUsed/>
    <w:qFormat/>
    <w:rsid w:val="00512AF5"/>
    <w:pPr>
      <w:suppressAutoHyphens w:val="0"/>
      <w:spacing w:beforeAutospacing="1" w:afterAutospacing="1" w:line="240" w:lineRule="auto"/>
      <w:jc w:val="left"/>
      <w:textAlignment w:val="auto"/>
    </w:pPr>
    <w:rPr>
      <w:rFonts w:eastAsia="Times New Roman" w:cs="Times New Roman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pPr>
      <w:widowControl w:val="0"/>
      <w:spacing w:line="259" w:lineRule="auto"/>
    </w:pPr>
    <w:rPr>
      <w:rFonts w:ascii="Calibri" w:eastAsia="Calibri" w:hAnsi="Calibri"/>
      <w:color w:val="000000"/>
      <w:sz w:val="24"/>
    </w:rPr>
  </w:style>
  <w:style w:type="paragraph" w:customStyle="1" w:styleId="Nagwektabeli">
    <w:name w:val="Nagłówek tabeli"/>
    <w:basedOn w:val="Zawartotabeli"/>
    <w:qFormat/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</w:style>
  <w:style w:type="paragraph" w:customStyle="1" w:styleId="Gwkalewa">
    <w:name w:val="Główka lew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2543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ze strategii 2022</dc:title>
  <dc:subject/>
  <dc:creator>Izabela Jurzyńska</dc:creator>
  <dc:description/>
  <cp:lastModifiedBy>Standard</cp:lastModifiedBy>
  <cp:revision>3</cp:revision>
  <cp:lastPrinted>2022-03-30T10:30:00Z</cp:lastPrinted>
  <dcterms:created xsi:type="dcterms:W3CDTF">2023-08-09T08:26:00Z</dcterms:created>
  <dcterms:modified xsi:type="dcterms:W3CDTF">2023-08-09T08:26:00Z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